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44249" w14:textId="0635F3C2" w:rsidR="00B12888" w:rsidRDefault="00B12888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</w:rPr>
      </w:pPr>
      <w:r w:rsidRPr="00B12888">
        <w:rPr>
          <w:rFonts w:ascii="Palatino Linotype" w:hAnsi="Palatino Linotype" w:cs="Arial"/>
          <w:b/>
        </w:rPr>
        <w:t xml:space="preserve">VOTO </w:t>
      </w:r>
      <w:r w:rsidR="00CC204F">
        <w:rPr>
          <w:rFonts w:ascii="Palatino Linotype" w:hAnsi="Palatino Linotype" w:cs="Arial"/>
          <w:b/>
        </w:rPr>
        <w:t>PARTICULAR</w:t>
      </w:r>
      <w:r w:rsidR="006B5818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  <w:b/>
        </w:rPr>
        <w:t>QUE FORMULA LA COMISIONADA</w:t>
      </w:r>
      <w:r w:rsidR="00CC204F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  <w:b/>
        </w:rPr>
        <w:t xml:space="preserve">EVA ABAID YAPUR, EN RELACIÓN CON LA RESOLUCIÓN DICTADA POR EL PLENO DEL INSTITUTO DE TRANSPARENCIA, ACCESO A LA INFORMACIÓN PÚBLICA Y PROTECCIÓN DE DATOS PERSONALES DEL ESTADO DE MÉXICO Y MUNICIPIOS, EN LA </w:t>
      </w:r>
      <w:r w:rsidR="00270662">
        <w:rPr>
          <w:rFonts w:ascii="Palatino Linotype" w:hAnsi="Palatino Linotype" w:cs="Arial"/>
          <w:b/>
        </w:rPr>
        <w:t>PRIMERA</w:t>
      </w:r>
      <w:r w:rsidR="001A04EA">
        <w:rPr>
          <w:rFonts w:ascii="Palatino Linotype" w:hAnsi="Palatino Linotype" w:cs="Arial"/>
          <w:b/>
        </w:rPr>
        <w:t xml:space="preserve"> </w:t>
      </w:r>
      <w:r w:rsidR="00270662">
        <w:rPr>
          <w:rFonts w:ascii="Palatino Linotype" w:hAnsi="Palatino Linotype" w:cs="Arial"/>
          <w:b/>
        </w:rPr>
        <w:t>SESIÓN ORDINARIA DE</w:t>
      </w:r>
      <w:r w:rsidRPr="00B12888">
        <w:rPr>
          <w:rFonts w:ascii="Palatino Linotype" w:hAnsi="Palatino Linotype" w:cs="Arial"/>
          <w:b/>
        </w:rPr>
        <w:t xml:space="preserve"> </w:t>
      </w:r>
      <w:r w:rsidR="00270662">
        <w:rPr>
          <w:rFonts w:ascii="Palatino Linotype" w:hAnsi="Palatino Linotype" w:cs="Arial"/>
          <w:b/>
        </w:rPr>
        <w:t xml:space="preserve">NUEVE </w:t>
      </w:r>
      <w:r w:rsidR="00CC204F">
        <w:rPr>
          <w:rFonts w:ascii="Palatino Linotype" w:hAnsi="Palatino Linotype" w:cs="Arial"/>
          <w:b/>
        </w:rPr>
        <w:t xml:space="preserve">DE </w:t>
      </w:r>
      <w:r w:rsidR="00270662">
        <w:rPr>
          <w:rFonts w:ascii="Palatino Linotype" w:hAnsi="Palatino Linotype" w:cs="Arial"/>
          <w:b/>
        </w:rPr>
        <w:t xml:space="preserve">ENERO </w:t>
      </w:r>
      <w:r w:rsidR="001157CE">
        <w:rPr>
          <w:rFonts w:ascii="Palatino Linotype" w:hAnsi="Palatino Linotype" w:cs="Arial"/>
          <w:b/>
        </w:rPr>
        <w:t xml:space="preserve">DE DOS MIL </w:t>
      </w:r>
      <w:r w:rsidR="00270662">
        <w:rPr>
          <w:rFonts w:ascii="Palatino Linotype" w:hAnsi="Palatino Linotype" w:cs="Arial"/>
          <w:b/>
        </w:rPr>
        <w:t>DIECINUEVE</w:t>
      </w:r>
      <w:r w:rsidR="00DB6A8E">
        <w:rPr>
          <w:rFonts w:ascii="Palatino Linotype" w:hAnsi="Palatino Linotype" w:cs="Arial"/>
          <w:b/>
        </w:rPr>
        <w:t xml:space="preserve"> EN</w:t>
      </w:r>
      <w:r w:rsidRPr="00B12888">
        <w:rPr>
          <w:rFonts w:ascii="Palatino Linotype" w:hAnsi="Palatino Linotype" w:cs="Arial"/>
          <w:b/>
        </w:rPr>
        <w:t xml:space="preserve"> </w:t>
      </w:r>
      <w:r w:rsidR="001157CE">
        <w:rPr>
          <w:rFonts w:ascii="Palatino Linotype" w:hAnsi="Palatino Linotype" w:cs="Arial"/>
          <w:b/>
        </w:rPr>
        <w:t>EL</w:t>
      </w:r>
      <w:r w:rsidR="001B5346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  <w:b/>
        </w:rPr>
        <w:t xml:space="preserve">RECURSO DE REVISIÓN </w:t>
      </w:r>
      <w:r w:rsidR="001157CE">
        <w:rPr>
          <w:rFonts w:ascii="Palatino Linotype" w:hAnsi="Palatino Linotype" w:cs="Arial"/>
          <w:b/>
        </w:rPr>
        <w:t>0</w:t>
      </w:r>
      <w:r w:rsidR="00270662">
        <w:rPr>
          <w:rFonts w:ascii="Palatino Linotype" w:hAnsi="Palatino Linotype" w:cs="Arial"/>
          <w:b/>
        </w:rPr>
        <w:t>4076</w:t>
      </w:r>
      <w:r w:rsidR="001B5346">
        <w:rPr>
          <w:rFonts w:ascii="Palatino Linotype" w:hAnsi="Palatino Linotype" w:cs="Arial"/>
          <w:b/>
          <w:bCs/>
          <w:lang w:eastAsia="es-MX"/>
        </w:rPr>
        <w:t>/INFOEM/IP/RR/201</w:t>
      </w:r>
      <w:r w:rsidR="00CC204F">
        <w:rPr>
          <w:rFonts w:ascii="Palatino Linotype" w:hAnsi="Palatino Linotype" w:cs="Arial"/>
          <w:b/>
          <w:bCs/>
          <w:lang w:eastAsia="es-MX"/>
        </w:rPr>
        <w:t>8</w:t>
      </w:r>
      <w:r w:rsidRPr="00B12888">
        <w:rPr>
          <w:rFonts w:ascii="Palatino Linotype" w:hAnsi="Palatino Linotype" w:cs="Arial"/>
          <w:b/>
        </w:rPr>
        <w:t>.</w:t>
      </w:r>
    </w:p>
    <w:p w14:paraId="0F8FB7C6" w14:textId="72EA7721" w:rsidR="00B12888" w:rsidRDefault="00B12888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B12888">
        <w:rPr>
          <w:rFonts w:ascii="Palatino Linotype" w:hAnsi="Palatino Linotype" w:cs="Arial"/>
        </w:rPr>
        <w:t>Con fundamento en lo dispuesto por</w:t>
      </w:r>
      <w:r w:rsidR="001157CE" w:rsidRPr="001157CE">
        <w:rPr>
          <w:rFonts w:ascii="Palatino Linotype" w:hAnsi="Palatino Linotype" w:cs="Arial"/>
        </w:rPr>
        <w:t xml:space="preserve"> el artículo 14, fracciones X y XI del</w:t>
      </w:r>
      <w:r w:rsidRPr="00B12888">
        <w:rPr>
          <w:rFonts w:ascii="Palatino Linotype" w:hAnsi="Palatino Linotype" w:cs="Arial"/>
        </w:rPr>
        <w:t xml:space="preserve"> Reglamento Interior del Instituto de Transparencia, Acceso a la Información Pública y Protección de Datos Personales del Estado de México y Municipios, la suscrita</w:t>
      </w:r>
      <w:r w:rsidR="00CC204F">
        <w:rPr>
          <w:rFonts w:ascii="Palatino Linotype" w:hAnsi="Palatino Linotype" w:cs="Arial"/>
        </w:rPr>
        <w:t xml:space="preserve"> </w:t>
      </w:r>
      <w:r w:rsidR="006B5818" w:rsidRPr="006B5818">
        <w:rPr>
          <w:rFonts w:ascii="Palatino Linotype" w:hAnsi="Palatino Linotype" w:cs="Arial"/>
          <w:b/>
        </w:rPr>
        <w:t>EVA ABAID YAPUR</w:t>
      </w:r>
      <w:r w:rsidRPr="00B12888">
        <w:rPr>
          <w:rFonts w:ascii="Palatino Linotype" w:hAnsi="Palatino Linotype" w:cs="Arial"/>
        </w:rPr>
        <w:t xml:space="preserve"> emite </w:t>
      </w:r>
      <w:r w:rsidR="006B5818">
        <w:rPr>
          <w:rFonts w:ascii="Palatino Linotype" w:hAnsi="Palatino Linotype" w:cs="Arial"/>
          <w:b/>
        </w:rPr>
        <w:t xml:space="preserve">VOTO </w:t>
      </w:r>
      <w:r w:rsidR="00CC204F">
        <w:rPr>
          <w:rFonts w:ascii="Palatino Linotype" w:hAnsi="Palatino Linotype" w:cs="Arial"/>
          <w:b/>
        </w:rPr>
        <w:t>PARTICULAR</w:t>
      </w:r>
      <w:r w:rsidR="006B5818">
        <w:rPr>
          <w:rFonts w:ascii="Palatino Linotype" w:hAnsi="Palatino Linotype" w:cs="Arial"/>
          <w:b/>
        </w:rPr>
        <w:t xml:space="preserve"> </w:t>
      </w:r>
      <w:r w:rsidRPr="00B12888">
        <w:rPr>
          <w:rFonts w:ascii="Palatino Linotype" w:hAnsi="Palatino Linotype" w:cs="Arial"/>
        </w:rPr>
        <w:t>respecto a la resolución emitida por el Plen</w:t>
      </w:r>
      <w:r w:rsidR="001B5346">
        <w:rPr>
          <w:rFonts w:ascii="Palatino Linotype" w:hAnsi="Palatino Linotype" w:cs="Arial"/>
        </w:rPr>
        <w:t xml:space="preserve">o de este Instituto en </w:t>
      </w:r>
      <w:r w:rsidR="001157CE">
        <w:rPr>
          <w:rFonts w:ascii="Palatino Linotype" w:hAnsi="Palatino Linotype" w:cs="Arial"/>
        </w:rPr>
        <w:t>e</w:t>
      </w:r>
      <w:r w:rsidR="001B5346">
        <w:rPr>
          <w:rFonts w:ascii="Palatino Linotype" w:hAnsi="Palatino Linotype" w:cs="Arial"/>
        </w:rPr>
        <w:t>l</w:t>
      </w:r>
      <w:r w:rsidRPr="00B12888">
        <w:rPr>
          <w:rFonts w:ascii="Palatino Linotype" w:hAnsi="Palatino Linotype" w:cs="Arial"/>
        </w:rPr>
        <w:t xml:space="preserve"> recurso de revisión </w:t>
      </w:r>
      <w:r w:rsidR="001157CE">
        <w:rPr>
          <w:rFonts w:ascii="Palatino Linotype" w:hAnsi="Palatino Linotype" w:cs="Arial"/>
          <w:b/>
        </w:rPr>
        <w:t>0</w:t>
      </w:r>
      <w:r w:rsidR="00270662">
        <w:rPr>
          <w:rFonts w:ascii="Palatino Linotype" w:hAnsi="Palatino Linotype" w:cs="Arial"/>
          <w:b/>
        </w:rPr>
        <w:t>4076</w:t>
      </w:r>
      <w:r w:rsidR="001157CE">
        <w:rPr>
          <w:rFonts w:ascii="Palatino Linotype" w:hAnsi="Palatino Linotype" w:cs="Arial"/>
          <w:b/>
          <w:bCs/>
          <w:lang w:eastAsia="es-MX"/>
        </w:rPr>
        <w:t>/INFOEM/IP/RR/201</w:t>
      </w:r>
      <w:r w:rsidR="00CC204F">
        <w:rPr>
          <w:rFonts w:ascii="Palatino Linotype" w:hAnsi="Palatino Linotype" w:cs="Arial"/>
          <w:b/>
          <w:bCs/>
          <w:lang w:eastAsia="es-MX"/>
        </w:rPr>
        <w:t>8</w:t>
      </w:r>
      <w:r w:rsidRPr="00B12888">
        <w:rPr>
          <w:rFonts w:ascii="Palatino Linotype" w:hAnsi="Palatino Linotype" w:cs="Arial"/>
        </w:rPr>
        <w:t xml:space="preserve">; misma que fue presentada por </w:t>
      </w:r>
      <w:r w:rsidR="006B5818">
        <w:rPr>
          <w:rFonts w:ascii="Palatino Linotype" w:hAnsi="Palatino Linotype" w:cs="Arial"/>
        </w:rPr>
        <w:t>el</w:t>
      </w:r>
      <w:r w:rsidRPr="00B12888">
        <w:rPr>
          <w:rFonts w:ascii="Palatino Linotype" w:hAnsi="Palatino Linotype" w:cs="Arial"/>
        </w:rPr>
        <w:t xml:space="preserve"> Comisionad</w:t>
      </w:r>
      <w:r w:rsidR="006B5818">
        <w:rPr>
          <w:rFonts w:ascii="Palatino Linotype" w:hAnsi="Palatino Linotype" w:cs="Arial"/>
        </w:rPr>
        <w:t>o</w:t>
      </w:r>
      <w:r w:rsidR="001157CE">
        <w:rPr>
          <w:rFonts w:ascii="Palatino Linotype" w:hAnsi="Palatino Linotype" w:cs="Arial"/>
        </w:rPr>
        <w:t xml:space="preserve"> </w:t>
      </w:r>
      <w:r w:rsidR="00CC204F">
        <w:rPr>
          <w:rFonts w:ascii="Palatino Linotype" w:hAnsi="Palatino Linotype" w:cs="Arial"/>
          <w:b/>
        </w:rPr>
        <w:t>LUIS GUSTAVO PARRA NORIEGA,</w:t>
      </w:r>
      <w:r w:rsidR="00CC204F">
        <w:rPr>
          <w:rFonts w:ascii="Palatino Linotype" w:hAnsi="Palatino Linotype" w:cs="Arial"/>
        </w:rPr>
        <w:t xml:space="preserve"> que es del tenor siguiente.</w:t>
      </w:r>
    </w:p>
    <w:p w14:paraId="3ADCFC6C" w14:textId="77777777" w:rsidR="00EE4D6E" w:rsidRPr="006D731E" w:rsidRDefault="00EE4D6E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Es de destacar, que la suscrita comparte esencialmente el estudio y sentido de la resolución del recurso de revisión; empero, </w:t>
      </w:r>
      <w:r>
        <w:rPr>
          <w:rFonts w:ascii="Palatino Linotype" w:hAnsi="Palatino Linotype"/>
        </w:rPr>
        <w:t>estimo</w:t>
      </w:r>
      <w:r w:rsidRPr="006D731E">
        <w:rPr>
          <w:rFonts w:ascii="Palatino Linotype" w:hAnsi="Palatino Linotype"/>
        </w:rPr>
        <w:t xml:space="preserve"> necesario precisar algunas consid</w:t>
      </w:r>
      <w:r>
        <w:rPr>
          <w:rFonts w:ascii="Palatino Linotype" w:hAnsi="Palatino Linotype"/>
        </w:rPr>
        <w:t>eraciones de hecho y de derecho respecto a parte de la información de la que se omite ordenar la entrega.</w:t>
      </w:r>
    </w:p>
    <w:p w14:paraId="643F949C" w14:textId="67BFACE4" w:rsidR="00CC204F" w:rsidRDefault="00CC204F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este sentido</w:t>
      </w:r>
      <w:r w:rsidRPr="006D731E">
        <w:rPr>
          <w:rFonts w:ascii="Palatino Linotype" w:hAnsi="Palatino Linotype"/>
        </w:rPr>
        <w:t xml:space="preserve">, tal y como quedó debidamente asentado en la resolución materia del presente voto, el particular requirió del </w:t>
      </w:r>
      <w:r w:rsidRPr="00CC204F">
        <w:rPr>
          <w:rFonts w:ascii="Palatino Linotype" w:hAnsi="Palatino Linotype"/>
          <w:b/>
        </w:rPr>
        <w:t xml:space="preserve">Ayuntamiento de </w:t>
      </w:r>
      <w:r w:rsidR="00270662">
        <w:rPr>
          <w:rFonts w:ascii="Palatino Linotype" w:hAnsi="Palatino Linotype"/>
          <w:b/>
        </w:rPr>
        <w:t>Amecameca</w:t>
      </w:r>
      <w:r>
        <w:rPr>
          <w:rFonts w:ascii="Palatino Linotype" w:hAnsi="Palatino Linotype"/>
        </w:rPr>
        <w:t xml:space="preserve">, en lo sucesivo </w:t>
      </w:r>
      <w:r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C37B76" w:rsidRPr="00C37B76">
        <w:rPr>
          <w:rFonts w:ascii="Palatino Linotype" w:hAnsi="Palatino Linotype"/>
        </w:rPr>
        <w:t>,</w:t>
      </w:r>
      <w:r w:rsidRPr="006D731E">
        <w:rPr>
          <w:rFonts w:ascii="Palatino Linotype" w:hAnsi="Palatino Linotype"/>
        </w:rPr>
        <w:t xml:space="preserve"> </w:t>
      </w:r>
      <w:r w:rsidR="00823496">
        <w:rPr>
          <w:rFonts w:ascii="Palatino Linotype" w:hAnsi="Palatino Linotype"/>
        </w:rPr>
        <w:t xml:space="preserve">la estructura orgánica </w:t>
      </w:r>
      <w:r w:rsidR="00E81CE8">
        <w:rPr>
          <w:rFonts w:ascii="Palatino Linotype" w:hAnsi="Palatino Linotype"/>
        </w:rPr>
        <w:t xml:space="preserve">vigente en municipio, que contenga: </w:t>
      </w:r>
    </w:p>
    <w:p w14:paraId="7CFE67C5" w14:textId="05E5EA16" w:rsidR="00E81CE8" w:rsidRPr="00E81CE8" w:rsidRDefault="00E81CE8" w:rsidP="00E81CE8">
      <w:pPr>
        <w:tabs>
          <w:tab w:val="left" w:pos="4962"/>
        </w:tabs>
        <w:ind w:left="851" w:right="1179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E81CE8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 xml:space="preserve">1.- Nombre del servidor público o funcionario público que ocupe el puesto, </w:t>
      </w:r>
    </w:p>
    <w:p w14:paraId="46DFF1BE" w14:textId="4795ED2B" w:rsidR="00E81CE8" w:rsidRPr="00E81CE8" w:rsidRDefault="00E81CE8" w:rsidP="00E81CE8">
      <w:pPr>
        <w:tabs>
          <w:tab w:val="left" w:pos="4962"/>
        </w:tabs>
        <w:ind w:left="851" w:right="1179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E81CE8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lastRenderedPageBreak/>
        <w:t xml:space="preserve">2.- Nombre o denominación de cada puesto, </w:t>
      </w:r>
    </w:p>
    <w:p w14:paraId="763510B7" w14:textId="04E78092" w:rsidR="00CC204F" w:rsidRDefault="00E81CE8" w:rsidP="00E81CE8">
      <w:pPr>
        <w:ind w:left="851" w:right="1179"/>
        <w:jc w:val="both"/>
        <w:rPr>
          <w:rFonts w:ascii="Palatino Linotype" w:hAnsi="Palatino Linotype"/>
        </w:rPr>
      </w:pPr>
      <w:r w:rsidRPr="00E81CE8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3.- Sueldo que perciben.</w:t>
      </w:r>
    </w:p>
    <w:p w14:paraId="43ED6552" w14:textId="798E6699" w:rsidR="00A12E0D" w:rsidRDefault="00CC204F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="00C37B76">
        <w:rPr>
          <w:rFonts w:ascii="Palatino Linotype" w:hAnsi="Palatino Linotype" w:cs="Arial"/>
        </w:rPr>
        <w:t xml:space="preserve">, manifestó </w:t>
      </w:r>
      <w:r w:rsidR="00A12E0D">
        <w:rPr>
          <w:rFonts w:ascii="Palatino Linotype" w:hAnsi="Palatino Linotype" w:cs="Arial"/>
        </w:rPr>
        <w:t xml:space="preserve">que </w:t>
      </w:r>
      <w:r w:rsidR="00DB6A8E" w:rsidRPr="00DB6A8E">
        <w:rPr>
          <w:rFonts w:ascii="Palatino Linotype" w:hAnsi="Palatino Linotype" w:cs="Arial"/>
        </w:rPr>
        <w:t>la información solicitada por el particular</w:t>
      </w:r>
      <w:r w:rsidR="00A12E0D">
        <w:rPr>
          <w:rFonts w:ascii="Palatino Linotype" w:hAnsi="Palatino Linotype" w:cs="Arial"/>
        </w:rPr>
        <w:t xml:space="preserve"> puede ser consultada en la</w:t>
      </w:r>
      <w:r w:rsidR="00C37B76">
        <w:rPr>
          <w:rFonts w:ascii="Palatino Linotype" w:hAnsi="Palatino Linotype" w:cs="Arial"/>
        </w:rPr>
        <w:t xml:space="preserve"> siguiente </w:t>
      </w:r>
      <w:r w:rsidR="00A12E0D">
        <w:rPr>
          <w:rFonts w:ascii="Palatino Linotype" w:hAnsi="Palatino Linotype" w:cs="Arial"/>
        </w:rPr>
        <w:t xml:space="preserve">liga electrónica </w:t>
      </w:r>
      <w:hyperlink r:id="rId8" w:history="1">
        <w:r w:rsidR="00A12E0D" w:rsidRPr="00C37B76">
          <w:rPr>
            <w:rStyle w:val="Hipervnculo"/>
            <w:rFonts w:ascii="Palatino Linotype" w:hAnsi="Palatino Linotype" w:cs="Arial"/>
            <w:color w:val="auto"/>
          </w:rPr>
          <w:t>https://www.ipomex.org.mx/ipo/lgt/indice/amecameca.web?reset=1</w:t>
        </w:r>
      </w:hyperlink>
      <w:r w:rsidR="00A12E0D">
        <w:rPr>
          <w:rFonts w:ascii="Palatino Linotype" w:hAnsi="Palatino Linotype" w:cs="Arial"/>
        </w:rPr>
        <w:t>, misma en donde</w:t>
      </w:r>
      <w:r w:rsidR="00A12E0D" w:rsidRPr="00A12E0D">
        <w:rPr>
          <w:rFonts w:ascii="Palatino Linotype" w:hAnsi="Palatino Linotype" w:cs="Arial"/>
        </w:rPr>
        <w:t xml:space="preserve"> se encuentran los rubros que</w:t>
      </w:r>
      <w:r w:rsidR="00C37B76">
        <w:rPr>
          <w:rFonts w:ascii="Palatino Linotype" w:hAnsi="Palatino Linotype" w:cs="Arial"/>
        </w:rPr>
        <w:t xml:space="preserve"> fueron </w:t>
      </w:r>
      <w:r w:rsidR="00A12E0D" w:rsidRPr="00A12E0D">
        <w:rPr>
          <w:rFonts w:ascii="Palatino Linotype" w:hAnsi="Palatino Linotype" w:cs="Arial"/>
        </w:rPr>
        <w:t>solicita</w:t>
      </w:r>
      <w:r w:rsidR="00C37B76">
        <w:rPr>
          <w:rFonts w:ascii="Palatino Linotype" w:hAnsi="Palatino Linotype" w:cs="Arial"/>
        </w:rPr>
        <w:t>dos</w:t>
      </w:r>
      <w:r w:rsidR="00A12E0D">
        <w:rPr>
          <w:rFonts w:ascii="Palatino Linotype" w:hAnsi="Palatino Linotype" w:cs="Arial"/>
        </w:rPr>
        <w:t>.</w:t>
      </w:r>
    </w:p>
    <w:p w14:paraId="7D742CB4" w14:textId="1F662885" w:rsidR="008117E1" w:rsidRDefault="007D5013" w:rsidP="00C37B7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lang w:eastAsia="es-MX"/>
        </w:rPr>
      </w:pPr>
      <w:r>
        <w:rPr>
          <w:rFonts w:ascii="Palatino Linotype" w:hAnsi="Palatino Linotype" w:cs="Arial"/>
        </w:rPr>
        <w:t>In</w:t>
      </w:r>
      <w:r w:rsidR="00CC204F">
        <w:rPr>
          <w:rFonts w:ascii="Palatino Linotype" w:hAnsi="Palatino Linotype" w:cs="Arial"/>
        </w:rPr>
        <w:t>conforme con ello</w:t>
      </w:r>
      <w:r w:rsidR="00C37B76">
        <w:rPr>
          <w:rFonts w:ascii="Palatino Linotype" w:hAnsi="Palatino Linotype" w:cs="Arial"/>
        </w:rPr>
        <w:t>,</w:t>
      </w:r>
      <w:r w:rsidR="00CC204F">
        <w:rPr>
          <w:rFonts w:ascii="Palatino Linotype" w:hAnsi="Palatino Linotype" w:cs="Arial"/>
        </w:rPr>
        <w:t xml:space="preserve"> </w:t>
      </w:r>
      <w:r w:rsidR="00CC204F" w:rsidRPr="006D731E">
        <w:rPr>
          <w:rFonts w:ascii="Palatino Linotype" w:hAnsi="Palatino Linotype"/>
          <w:b/>
          <w:lang w:eastAsia="es-MX"/>
        </w:rPr>
        <w:t>EL RECURRENTE</w:t>
      </w:r>
      <w:r w:rsidR="00CC204F" w:rsidRPr="006D731E">
        <w:rPr>
          <w:rFonts w:ascii="Palatino Linotype" w:hAnsi="Palatino Linotype"/>
          <w:lang w:eastAsia="es-MX"/>
        </w:rPr>
        <w:t xml:space="preserve"> </w:t>
      </w:r>
      <w:r w:rsidR="008117E1">
        <w:rPr>
          <w:rFonts w:ascii="Palatino Linotype" w:hAnsi="Palatino Linotype"/>
          <w:lang w:eastAsia="es-MX"/>
        </w:rPr>
        <w:t>interpuso e</w:t>
      </w:r>
      <w:r w:rsidR="00C37B76">
        <w:rPr>
          <w:rFonts w:ascii="Palatino Linotype" w:hAnsi="Palatino Linotype"/>
          <w:lang w:eastAsia="es-MX"/>
        </w:rPr>
        <w:t>l recurso de revisión de mérito</w:t>
      </w:r>
      <w:r w:rsidR="008117E1">
        <w:rPr>
          <w:rFonts w:ascii="Palatino Linotype" w:hAnsi="Palatino Linotype"/>
          <w:lang w:eastAsia="es-MX"/>
        </w:rPr>
        <w:t xml:space="preserve"> señalando tanto en acto impugnado como en sus razones y motivos de inconformidad lo siguiente: </w:t>
      </w:r>
    </w:p>
    <w:p w14:paraId="2BE8F594" w14:textId="794827DC" w:rsidR="008117E1" w:rsidRPr="0094043A" w:rsidRDefault="008117E1" w:rsidP="00C37B76">
      <w:pPr>
        <w:spacing w:before="100" w:beforeAutospacing="1" w:after="100" w:afterAutospacing="1" w:line="360" w:lineRule="auto"/>
        <w:ind w:left="851" w:right="1182"/>
        <w:jc w:val="both"/>
        <w:rPr>
          <w:rFonts w:ascii="Palatino Linotype" w:hAnsi="Palatino Linotype" w:cs="Arial"/>
          <w:sz w:val="22"/>
          <w:szCs w:val="22"/>
        </w:rPr>
      </w:pPr>
      <w:r w:rsidRPr="0094043A">
        <w:rPr>
          <w:rStyle w:val="Ttulo2Car"/>
          <w:rFonts w:ascii="Palatino Linotype" w:hAnsi="Palatino Linotype"/>
          <w:i/>
          <w:color w:val="000000" w:themeColor="text1"/>
          <w:sz w:val="22"/>
          <w:szCs w:val="22"/>
        </w:rPr>
        <w:t>“</w:t>
      </w:r>
      <w:r>
        <w:rPr>
          <w:rStyle w:val="Ttulo2Car"/>
          <w:rFonts w:ascii="Palatino Linotype" w:hAnsi="Palatino Linotype"/>
          <w:i/>
          <w:color w:val="000000" w:themeColor="text1"/>
          <w:sz w:val="22"/>
          <w:szCs w:val="22"/>
        </w:rPr>
        <w:t>la información entregada es incompleta</w:t>
      </w:r>
      <w:r w:rsidRPr="0094043A">
        <w:rPr>
          <w:rStyle w:val="Ttulo2Car"/>
          <w:rFonts w:ascii="Palatino Linotype" w:hAnsi="Palatino Linotype"/>
          <w:i/>
          <w:color w:val="000000" w:themeColor="text1"/>
          <w:sz w:val="22"/>
          <w:szCs w:val="22"/>
        </w:rPr>
        <w:t xml:space="preserve">" </w:t>
      </w:r>
      <w:r w:rsidRPr="0094043A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>(Sic)</w:t>
      </w:r>
    </w:p>
    <w:p w14:paraId="01E816C9" w14:textId="180DEE25" w:rsidR="00CC204F" w:rsidRPr="00C37B76" w:rsidRDefault="008117E1" w:rsidP="00C37B7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C37B76">
        <w:rPr>
          <w:rFonts w:ascii="Palatino Linotype" w:hAnsi="Palatino Linotype" w:cs="Arial"/>
        </w:rPr>
        <w:t xml:space="preserve">Bajo ese tenor, </w:t>
      </w:r>
      <w:r w:rsidRPr="00C37B76">
        <w:rPr>
          <w:rFonts w:ascii="Palatino Linotype" w:hAnsi="Palatino Linotype" w:cs="Arial"/>
          <w:b/>
        </w:rPr>
        <w:t xml:space="preserve">EL SUJETO OBLIGADO </w:t>
      </w:r>
      <w:r w:rsidR="00121D0B" w:rsidRPr="00C37B76">
        <w:rPr>
          <w:rFonts w:ascii="Palatino Linotype" w:hAnsi="Palatino Linotype" w:cs="Arial"/>
        </w:rPr>
        <w:t xml:space="preserve">rindió </w:t>
      </w:r>
      <w:r w:rsidRPr="00C37B76">
        <w:rPr>
          <w:rFonts w:ascii="Palatino Linotype" w:hAnsi="Palatino Linotype" w:cs="Arial"/>
        </w:rPr>
        <w:t xml:space="preserve">su Informe justificado </w:t>
      </w:r>
      <w:r w:rsidR="00121D0B" w:rsidRPr="00C37B76">
        <w:rPr>
          <w:rFonts w:ascii="Palatino Linotype" w:hAnsi="Palatino Linotype" w:cs="Arial"/>
        </w:rPr>
        <w:t xml:space="preserve">mediante archivo electrónico denominado </w:t>
      </w:r>
      <w:r w:rsidR="00121D0B" w:rsidRPr="00C37B76">
        <w:rPr>
          <w:rFonts w:ascii="Palatino Linotype" w:hAnsi="Palatino Linotype" w:cs="Arial"/>
          <w:b/>
        </w:rPr>
        <w:t>“100.pdf”</w:t>
      </w:r>
      <w:r w:rsidR="00121D0B" w:rsidRPr="00C37B76">
        <w:rPr>
          <w:rFonts w:ascii="Palatino Linotype" w:hAnsi="Palatino Linotype" w:cs="Arial"/>
        </w:rPr>
        <w:t xml:space="preserve">, mismo en el que </w:t>
      </w:r>
      <w:r w:rsidR="00121D0B" w:rsidRPr="00C37B76">
        <w:rPr>
          <w:rFonts w:ascii="Palatino Linotype" w:hAnsi="Palatino Linotype" w:cs="Tahoma"/>
        </w:rPr>
        <w:t xml:space="preserve">proporcionó un concentrado de nómina, correspondiente del dieciséis al treinta de noviembre de dos mil dieciocho. </w:t>
      </w:r>
    </w:p>
    <w:p w14:paraId="590019E0" w14:textId="518F9675" w:rsidR="007D5013" w:rsidRPr="007D5013" w:rsidRDefault="00CC204F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 w:rsidR="00121D0B">
        <w:rPr>
          <w:rFonts w:ascii="Palatino Linotype" w:hAnsi="Palatino Linotype" w:cs="Arial"/>
          <w:b/>
        </w:rPr>
        <w:t>MODIFICAR</w:t>
      </w:r>
      <w:r w:rsidR="007D5013" w:rsidRPr="007D5013">
        <w:rPr>
          <w:rFonts w:ascii="Palatino Linotype" w:hAnsi="Palatino Linotype" w:cs="Arial"/>
          <w:b/>
        </w:rPr>
        <w:t xml:space="preserve"> </w:t>
      </w:r>
      <w:r w:rsidR="007D5013" w:rsidRPr="00121D0B">
        <w:rPr>
          <w:rFonts w:ascii="Palatino Linotype" w:hAnsi="Palatino Linotype" w:cs="Arial"/>
        </w:rPr>
        <w:t>la</w:t>
      </w:r>
      <w:r w:rsidR="007D5013" w:rsidRPr="007D5013">
        <w:rPr>
          <w:rFonts w:ascii="Palatino Linotype" w:hAnsi="Palatino Linotype" w:cs="Arial"/>
          <w:b/>
        </w:rPr>
        <w:t xml:space="preserve"> </w:t>
      </w:r>
      <w:r w:rsidR="007D5013" w:rsidRPr="007D5013">
        <w:rPr>
          <w:rFonts w:ascii="Palatino Linotype" w:hAnsi="Palatino Linotype" w:cs="Arial"/>
        </w:rPr>
        <w:t xml:space="preserve">respuesta otorgada por el Ayuntamiento de </w:t>
      </w:r>
      <w:r w:rsidR="00121D0B">
        <w:rPr>
          <w:rFonts w:ascii="Palatino Linotype" w:hAnsi="Palatino Linotype" w:cs="Arial"/>
        </w:rPr>
        <w:t>Amecameca</w:t>
      </w:r>
      <w:r w:rsidR="007D5013" w:rsidRPr="007D5013">
        <w:rPr>
          <w:rFonts w:ascii="Palatino Linotype" w:hAnsi="Palatino Linotype" w:cs="Arial"/>
        </w:rPr>
        <w:t xml:space="preserve"> </w:t>
      </w:r>
      <w:r w:rsidR="006A470D">
        <w:rPr>
          <w:rFonts w:ascii="Palatino Linotype" w:hAnsi="Palatino Linotype" w:cs="Arial"/>
        </w:rPr>
        <w:t xml:space="preserve">ordenándole </w:t>
      </w:r>
      <w:r w:rsidR="00C37B76">
        <w:rPr>
          <w:rFonts w:ascii="Palatino Linotype" w:hAnsi="Palatino Linotype" w:cs="Arial"/>
        </w:rPr>
        <w:t>pr</w:t>
      </w:r>
      <w:r w:rsidR="007D5013" w:rsidRPr="007D5013">
        <w:rPr>
          <w:rFonts w:ascii="Palatino Linotype" w:hAnsi="Palatino Linotype" w:cs="Arial"/>
        </w:rPr>
        <w:t xml:space="preserve">evia búsqueda exhaustiva y razonable </w:t>
      </w:r>
      <w:r w:rsidR="00121D0B">
        <w:rPr>
          <w:rFonts w:ascii="Palatino Linotype" w:hAnsi="Palatino Linotype" w:cs="Arial"/>
        </w:rPr>
        <w:t xml:space="preserve">en todas las áreas competentes, </w:t>
      </w:r>
      <w:r w:rsidR="007D5013" w:rsidRPr="007D5013">
        <w:rPr>
          <w:rFonts w:ascii="Palatino Linotype" w:hAnsi="Palatino Linotype" w:cs="Arial"/>
        </w:rPr>
        <w:t>otorg</w:t>
      </w:r>
      <w:r w:rsidR="007D5013">
        <w:rPr>
          <w:rFonts w:ascii="Palatino Linotype" w:hAnsi="Palatino Linotype" w:cs="Arial"/>
        </w:rPr>
        <w:t xml:space="preserve">ara en </w:t>
      </w:r>
      <w:r w:rsidR="007D5013" w:rsidRPr="007D5013">
        <w:rPr>
          <w:rFonts w:ascii="Palatino Linotype" w:hAnsi="Palatino Linotype" w:cs="Arial"/>
        </w:rPr>
        <w:t xml:space="preserve">versión pública </w:t>
      </w:r>
      <w:r w:rsidR="007D5013">
        <w:rPr>
          <w:rFonts w:ascii="Palatino Linotype" w:hAnsi="Palatino Linotype" w:cs="Arial"/>
        </w:rPr>
        <w:t>lo siguiente:</w:t>
      </w:r>
    </w:p>
    <w:p w14:paraId="7A98C16C" w14:textId="7219666A" w:rsidR="007D5013" w:rsidRPr="007D5013" w:rsidRDefault="007D5013" w:rsidP="00121D0B">
      <w:pPr>
        <w:ind w:left="851" w:right="1182"/>
        <w:jc w:val="both"/>
        <w:rPr>
          <w:rFonts w:ascii="Palatino Linotype" w:hAnsi="Palatino Linotype" w:cs="Arial"/>
          <w:i/>
          <w:sz w:val="22"/>
        </w:rPr>
      </w:pPr>
      <w:r w:rsidRPr="007D5013">
        <w:rPr>
          <w:rFonts w:ascii="Palatino Linotype" w:hAnsi="Palatino Linotype" w:cs="Arial"/>
          <w:i/>
          <w:sz w:val="22"/>
        </w:rPr>
        <w:t>1.</w:t>
      </w:r>
      <w:r w:rsidRPr="007D5013">
        <w:rPr>
          <w:rFonts w:ascii="Palatino Linotype" w:hAnsi="Palatino Linotype" w:cs="Arial"/>
          <w:i/>
          <w:sz w:val="22"/>
        </w:rPr>
        <w:tab/>
        <w:t>La nómina</w:t>
      </w:r>
      <w:r w:rsidR="00121D0B">
        <w:rPr>
          <w:rFonts w:ascii="Palatino Linotype" w:hAnsi="Palatino Linotype" w:cs="Arial"/>
          <w:i/>
          <w:sz w:val="22"/>
        </w:rPr>
        <w:t xml:space="preserve"> general o los recibos de nómina </w:t>
      </w:r>
      <w:r w:rsidRPr="007D5013">
        <w:rPr>
          <w:rFonts w:ascii="Palatino Linotype" w:hAnsi="Palatino Linotype" w:cs="Arial"/>
          <w:i/>
          <w:sz w:val="22"/>
        </w:rPr>
        <w:t>correspondiente</w:t>
      </w:r>
      <w:r w:rsidR="00121D0B">
        <w:rPr>
          <w:rFonts w:ascii="Palatino Linotype" w:hAnsi="Palatino Linotype" w:cs="Arial"/>
          <w:i/>
          <w:sz w:val="22"/>
        </w:rPr>
        <w:t>s a la</w:t>
      </w:r>
      <w:r w:rsidRPr="007D5013">
        <w:rPr>
          <w:rFonts w:ascii="Palatino Linotype" w:hAnsi="Palatino Linotype" w:cs="Arial"/>
          <w:i/>
          <w:sz w:val="22"/>
        </w:rPr>
        <w:t xml:space="preserve"> </w:t>
      </w:r>
      <w:r w:rsidR="00121D0B">
        <w:rPr>
          <w:rFonts w:ascii="Palatino Linotype" w:hAnsi="Palatino Linotype" w:cs="Arial"/>
          <w:i/>
          <w:sz w:val="22"/>
        </w:rPr>
        <w:t xml:space="preserve">segunda </w:t>
      </w:r>
      <w:r w:rsidRPr="007D5013">
        <w:rPr>
          <w:rFonts w:ascii="Palatino Linotype" w:hAnsi="Palatino Linotype" w:cs="Arial"/>
          <w:i/>
          <w:sz w:val="22"/>
        </w:rPr>
        <w:t xml:space="preserve">quincena del mes de </w:t>
      </w:r>
      <w:r w:rsidR="00121D0B">
        <w:rPr>
          <w:rFonts w:ascii="Palatino Linotype" w:hAnsi="Palatino Linotype" w:cs="Arial"/>
          <w:i/>
          <w:sz w:val="22"/>
        </w:rPr>
        <w:t>septiembre</w:t>
      </w:r>
      <w:r w:rsidRPr="007D5013">
        <w:rPr>
          <w:rFonts w:ascii="Palatino Linotype" w:hAnsi="Palatino Linotype" w:cs="Arial"/>
          <w:i/>
          <w:sz w:val="22"/>
        </w:rPr>
        <w:t xml:space="preserve"> de</w:t>
      </w:r>
      <w:r w:rsidR="00121D0B">
        <w:rPr>
          <w:rFonts w:ascii="Palatino Linotype" w:hAnsi="Palatino Linotype" w:cs="Arial"/>
          <w:i/>
          <w:sz w:val="22"/>
        </w:rPr>
        <w:t>l</w:t>
      </w:r>
      <w:r w:rsidRPr="007D5013">
        <w:rPr>
          <w:rFonts w:ascii="Palatino Linotype" w:hAnsi="Palatino Linotype" w:cs="Arial"/>
          <w:i/>
          <w:sz w:val="22"/>
        </w:rPr>
        <w:t xml:space="preserve"> dos mil dieciocho.</w:t>
      </w:r>
    </w:p>
    <w:p w14:paraId="5005EAC5" w14:textId="7CEA7195" w:rsidR="00A406B6" w:rsidRPr="00663F86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4F3344">
        <w:rPr>
          <w:rFonts w:ascii="Palatino Linotype" w:hAnsi="Palatino Linotype" w:cs="Arial"/>
        </w:rPr>
        <w:lastRenderedPageBreak/>
        <w:t>En ese sentido, la que suscribe reitera, que si bien coincide en términos generales con el</w:t>
      </w:r>
      <w:r w:rsidRPr="006D731E">
        <w:rPr>
          <w:rFonts w:ascii="Palatino Linotype" w:hAnsi="Palatino Linotype" w:cs="Arial"/>
        </w:rPr>
        <w:t xml:space="preserve"> sentido de la resolución en comento, </w:t>
      </w:r>
      <w:r>
        <w:rPr>
          <w:rFonts w:ascii="Palatino Linotype" w:hAnsi="Palatino Linotype" w:cs="Arial"/>
        </w:rPr>
        <w:t xml:space="preserve">estimo necesario manifestar que del análisis que realiza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, ésta determinó que de conformidad con los </w:t>
      </w:r>
      <w:r w:rsidRPr="00D91EDF">
        <w:rPr>
          <w:rFonts w:ascii="Palatino Linotype" w:hAnsi="Palatino Linotype" w:cs="Arial"/>
        </w:rPr>
        <w:t>artículos 140</w:t>
      </w:r>
      <w:r>
        <w:rPr>
          <w:rFonts w:ascii="Palatino Linotype" w:hAnsi="Palatino Linotype" w:cs="Arial"/>
        </w:rPr>
        <w:t>,</w:t>
      </w:r>
      <w:r w:rsidRPr="00D91EDF">
        <w:rPr>
          <w:rFonts w:ascii="Palatino Linotype" w:hAnsi="Palatino Linotype" w:cs="Arial"/>
        </w:rPr>
        <w:t xml:space="preserve"> fracción I</w:t>
      </w:r>
      <w:r w:rsidR="00F62909">
        <w:rPr>
          <w:rFonts w:ascii="Palatino Linotype" w:hAnsi="Palatino Linotype" w:cs="Arial"/>
        </w:rPr>
        <w:t xml:space="preserve">V de la Ley de Transparencia y </w:t>
      </w:r>
      <w:r w:rsidRPr="00D91EDF">
        <w:rPr>
          <w:rFonts w:ascii="Palatino Linotype" w:hAnsi="Palatino Linotype" w:cs="Arial"/>
        </w:rPr>
        <w:t xml:space="preserve">Acceso a la Información Pública del Estado de México y Municipios, que a su vez se vincula con </w:t>
      </w:r>
      <w:r>
        <w:rPr>
          <w:rFonts w:ascii="Palatino Linotype" w:hAnsi="Palatino Linotype" w:cs="Arial"/>
        </w:rPr>
        <w:t>el</w:t>
      </w:r>
      <w:r w:rsidRPr="00D91EDF">
        <w:rPr>
          <w:rFonts w:ascii="Palatino Linotype" w:hAnsi="Palatino Linotype" w:cs="Arial"/>
        </w:rPr>
        <w:t xml:space="preserve"> divers</w:t>
      </w:r>
      <w:r>
        <w:rPr>
          <w:rFonts w:ascii="Palatino Linotype" w:hAnsi="Palatino Linotype" w:cs="Arial"/>
        </w:rPr>
        <w:t>o</w:t>
      </w:r>
      <w:r w:rsidRPr="00D91EDF">
        <w:rPr>
          <w:rFonts w:ascii="Palatino Linotype" w:hAnsi="Palatino Linotype" w:cs="Arial"/>
        </w:rPr>
        <w:t xml:space="preserve"> del artículo 113</w:t>
      </w:r>
      <w:r>
        <w:rPr>
          <w:rFonts w:ascii="Palatino Linotype" w:hAnsi="Palatino Linotype" w:cs="Arial"/>
        </w:rPr>
        <w:t>,</w:t>
      </w:r>
      <w:r w:rsidRPr="00D91EDF">
        <w:rPr>
          <w:rFonts w:ascii="Palatino Linotype" w:hAnsi="Palatino Linotype" w:cs="Arial"/>
        </w:rPr>
        <w:t xml:space="preserve"> fracción V de la Ley General de Transparencia y Acceso a la Información Pública</w:t>
      </w:r>
      <w:r>
        <w:rPr>
          <w:rFonts w:ascii="Palatino Linotype" w:hAnsi="Palatino Linotype" w:cs="Arial"/>
        </w:rPr>
        <w:t>, la información solicitada por el particular, de entregarse pondría en riesgo la vida</w:t>
      </w:r>
      <w:r w:rsidR="00F6290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seguridad y salud de las personas físicas, robusteciendo tales argumentos con </w:t>
      </w:r>
      <w:r w:rsidRPr="00663F86">
        <w:rPr>
          <w:rFonts w:ascii="Palatino Linotype" w:hAnsi="Palatino Linotype" w:cs="Arial"/>
        </w:rPr>
        <w:t>el criterio número 6-09, emitido por el</w:t>
      </w:r>
      <w:r>
        <w:rPr>
          <w:rFonts w:ascii="Palatino Linotype" w:hAnsi="Palatino Linotype" w:cs="Arial"/>
        </w:rPr>
        <w:t xml:space="preserve"> entonces </w:t>
      </w:r>
      <w:r w:rsidRPr="006000F8">
        <w:rPr>
          <w:rFonts w:ascii="Palatino Linotype" w:hAnsi="Palatino Linotype" w:cs="Arial"/>
        </w:rPr>
        <w:t>Instituto Federal de Acceso a la Información y Protección de Datos (IFAI)</w:t>
      </w:r>
      <w:r w:rsidRPr="00663F8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ahora </w:t>
      </w:r>
      <w:r w:rsidRPr="00663F86">
        <w:rPr>
          <w:rFonts w:ascii="Palatino Linotype" w:hAnsi="Palatino Linotype" w:cs="Arial"/>
        </w:rPr>
        <w:t>Instituto Nacional de Transparencia, Acceso a la Información y Protección de Datos Personales, (I</w:t>
      </w:r>
      <w:r>
        <w:rPr>
          <w:rFonts w:ascii="Palatino Linotype" w:hAnsi="Palatino Linotype" w:cs="Arial"/>
        </w:rPr>
        <w:t>N</w:t>
      </w:r>
      <w:r w:rsidRPr="00663F86">
        <w:rPr>
          <w:rFonts w:ascii="Palatino Linotype" w:hAnsi="Palatino Linotype" w:cs="Arial"/>
        </w:rPr>
        <w:t xml:space="preserve">AI), el cual refiere: </w:t>
      </w:r>
    </w:p>
    <w:p w14:paraId="0E23CBE2" w14:textId="77777777" w:rsidR="00A406B6" w:rsidRPr="00663F86" w:rsidRDefault="00A406B6" w:rsidP="00F62909">
      <w:pPr>
        <w:ind w:left="851" w:right="1182"/>
        <w:jc w:val="both"/>
        <w:rPr>
          <w:rFonts w:ascii="Palatino Linotype" w:hAnsi="Palatino Linotype" w:cs="Arial"/>
          <w:i/>
          <w:sz w:val="22"/>
        </w:rPr>
      </w:pPr>
      <w:r w:rsidRPr="00663F86">
        <w:rPr>
          <w:rFonts w:ascii="Palatino Linotype" w:hAnsi="Palatino Linotype" w:cs="Arial"/>
          <w:i/>
          <w:sz w:val="22"/>
        </w:rPr>
        <w:t>“Criterio 6-09</w:t>
      </w:r>
    </w:p>
    <w:p w14:paraId="0E5166C2" w14:textId="77777777" w:rsidR="00A406B6" w:rsidRPr="00663F86" w:rsidRDefault="00A406B6" w:rsidP="00F62909">
      <w:pPr>
        <w:ind w:left="851" w:right="1182"/>
        <w:jc w:val="both"/>
        <w:rPr>
          <w:rFonts w:ascii="Palatino Linotype" w:hAnsi="Palatino Linotype" w:cs="Arial"/>
          <w:i/>
          <w:sz w:val="22"/>
        </w:rPr>
      </w:pPr>
      <w:r w:rsidRPr="008A2932">
        <w:rPr>
          <w:rFonts w:ascii="Palatino Linotype" w:hAnsi="Palatino Linotype" w:cs="Arial"/>
          <w:b/>
          <w:i/>
          <w:sz w:val="22"/>
        </w:rPr>
        <w:t>Nombres de servidores públicos dedicados a actividades en materia de seguridad, por excepción pueden considerarse información reservada</w:t>
      </w:r>
      <w:r w:rsidRPr="00663F86">
        <w:rPr>
          <w:rFonts w:ascii="Palatino Linotype" w:hAnsi="Palatino Linotype" w:cs="Arial"/>
          <w:i/>
          <w:sz w:val="22"/>
        </w:rPr>
        <w:t xml:space="preserve">. De conformidad con el artículo 7, fracciones I y III de la Ley Federal de Transparencia y Acceso a la Información Pública Gubernamental </w:t>
      </w:r>
      <w:r w:rsidRPr="00FD5E37">
        <w:rPr>
          <w:rFonts w:ascii="Palatino Linotype" w:hAnsi="Palatino Linotype" w:cs="Arial"/>
          <w:b/>
          <w:i/>
          <w:sz w:val="22"/>
        </w:rPr>
        <w:t>el nombre de los servidores públicos es información de naturaleza pública</w:t>
      </w:r>
      <w:r w:rsidRPr="00663F86">
        <w:rPr>
          <w:rFonts w:ascii="Palatino Linotype" w:hAnsi="Palatino Linotype" w:cs="Arial"/>
          <w:i/>
          <w:sz w:val="22"/>
        </w:rPr>
        <w:t xml:space="preserve">. No obstante lo anterior, el mismo precepto establece la posibilidad de que </w:t>
      </w:r>
      <w:r w:rsidRPr="00FD5E37">
        <w:rPr>
          <w:rFonts w:ascii="Palatino Linotype" w:hAnsi="Palatino Linotype" w:cs="Arial"/>
          <w:b/>
          <w:i/>
          <w:sz w:val="22"/>
        </w:rPr>
        <w:t>existan excepciones a las obligaciones</w:t>
      </w:r>
      <w:r w:rsidRPr="00663F86">
        <w:rPr>
          <w:rFonts w:ascii="Palatino Linotype" w:hAnsi="Palatino Linotype" w:cs="Arial"/>
          <w:i/>
          <w:sz w:val="22"/>
        </w:rPr>
        <w:t xml:space="preserve"> ahí </w:t>
      </w:r>
      <w:r w:rsidRPr="00FD5E37">
        <w:rPr>
          <w:rFonts w:ascii="Palatino Linotype" w:hAnsi="Palatino Linotype" w:cs="Arial"/>
          <w:b/>
          <w:i/>
          <w:sz w:val="22"/>
        </w:rPr>
        <w:t>establecidas cuando la información actualice algunos de los supuestos</w:t>
      </w:r>
      <w:r w:rsidRPr="00663F86">
        <w:rPr>
          <w:rFonts w:ascii="Palatino Linotype" w:hAnsi="Palatino Linotype" w:cs="Arial"/>
          <w:i/>
          <w:sz w:val="22"/>
        </w:rPr>
        <w:t xml:space="preserve"> de reserva o </w:t>
      </w:r>
      <w:r w:rsidRPr="00FD5E37">
        <w:rPr>
          <w:rFonts w:ascii="Palatino Linotype" w:hAnsi="Palatino Linotype" w:cs="Arial"/>
          <w:b/>
          <w:i/>
          <w:sz w:val="22"/>
        </w:rPr>
        <w:t>confidencialidad</w:t>
      </w:r>
      <w:r w:rsidRPr="00663F86">
        <w:rPr>
          <w:rFonts w:ascii="Palatino Linotype" w:hAnsi="Palatino Linotype" w:cs="Arial"/>
          <w:i/>
          <w:sz w:val="22"/>
        </w:rPr>
        <w:t xml:space="preserve"> previstos en los artículos 13, 14 y 18 de la citada ley. En este sentido, se debe señalar que existen funciones a cargo de servidores públicos, tendientes a garantizar de manera directa la seguridad nacional y pública, a través de acciones preventivas y correctivas encaminadas a combatir a la delincuencia en sus diferentes manifestaciones. Así, es pertinente señalar que en el artículo 13, fracción I de la ley de referencia se establece que podrá clasificarse aquella información cuya difusión pueda comprometer la seguridad nacional y pública. En este orden de ideas, una de las formas en que la delincuencia puede llegar a poner en riesgo la seguridad del país es precisamente anulando, impidiendo u obstaculizando la actuación de los servidores públicos que realizan funciones de carácter operativo, mediante el conocimiento de dicha situación, por lo que la reserva </w:t>
      </w:r>
      <w:r w:rsidRPr="00663F86">
        <w:rPr>
          <w:rFonts w:ascii="Palatino Linotype" w:hAnsi="Palatino Linotype" w:cs="Arial"/>
          <w:i/>
          <w:sz w:val="22"/>
        </w:rPr>
        <w:lastRenderedPageBreak/>
        <w:t>de la relación de los nombres y las funciones que desempeñan los servidores públicos que prestan sus servicios en áreas de seguridad nacional o pública, puede llegar a constituirse en un componente fundamental en el esfuerzo que realiza el Estado Mexicano para garantizar la seguridad del país en sus diferentes vertientes” (Sic)</w:t>
      </w:r>
    </w:p>
    <w:p w14:paraId="200084B7" w14:textId="77777777" w:rsidR="00A406B6" w:rsidRDefault="00A406B6" w:rsidP="00F62909">
      <w:pPr>
        <w:ind w:left="851" w:right="1182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(</w:t>
      </w:r>
      <w:r w:rsidRPr="00663F86">
        <w:rPr>
          <w:rFonts w:ascii="Palatino Linotype" w:hAnsi="Palatino Linotype" w:cs="Arial"/>
        </w:rPr>
        <w:t>Énfasis añadido.</w:t>
      </w:r>
      <w:r>
        <w:rPr>
          <w:rFonts w:ascii="Palatino Linotype" w:hAnsi="Palatino Linotype" w:cs="Arial"/>
        </w:rPr>
        <w:t>)</w:t>
      </w:r>
    </w:p>
    <w:p w14:paraId="6E9BA8BF" w14:textId="345FDD1F" w:rsidR="00A406B6" w:rsidRPr="00721017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cual se comparte, ya que habrá casos en los que por excepción se clasifique el nombre de los servidores públicos cuyas funciones sean tendientes a preservar la seguridad pública, empero no así para el presente asunto; pues considero que el nombre de la </w:t>
      </w:r>
      <w:r w:rsidRPr="00721017">
        <w:rPr>
          <w:rFonts w:ascii="Palatino Linotype" w:hAnsi="Palatino Linotype" w:cs="Arial"/>
        </w:rPr>
        <w:t xml:space="preserve">totalidad de los servidores públicos adscritos a la </w:t>
      </w:r>
      <w:r w:rsidR="00721017" w:rsidRPr="00721017">
        <w:rPr>
          <w:rFonts w:ascii="Palatino Linotype" w:hAnsi="Palatino Linotype" w:cs="Tahoma"/>
        </w:rPr>
        <w:t xml:space="preserve">Dirección de Seguridad Ciudadana y Tránsito Vial </w:t>
      </w:r>
      <w:r w:rsidRPr="00721017">
        <w:rPr>
          <w:rFonts w:ascii="Palatino Linotype" w:hAnsi="Palatino Linotype" w:cs="Arial"/>
        </w:rPr>
        <w:t xml:space="preserve">debe ser entregado al </w:t>
      </w:r>
      <w:r w:rsidRPr="00721017">
        <w:rPr>
          <w:rFonts w:ascii="Palatino Linotype" w:hAnsi="Palatino Linotype" w:cs="Arial"/>
          <w:b/>
        </w:rPr>
        <w:t>RECURRENTE.</w:t>
      </w:r>
    </w:p>
    <w:p w14:paraId="401E5491" w14:textId="57F3F9FA" w:rsidR="00A406B6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decir, remitiéndonos </w:t>
      </w:r>
      <w:r w:rsidRPr="00663F86">
        <w:rPr>
          <w:rFonts w:ascii="Palatino Linotype" w:hAnsi="Palatino Linotype" w:cs="Arial"/>
        </w:rPr>
        <w:t>al Compendio del Informe Mensual 201</w:t>
      </w:r>
      <w:r>
        <w:rPr>
          <w:rFonts w:ascii="Palatino Linotype" w:hAnsi="Palatino Linotype" w:cs="Arial"/>
        </w:rPr>
        <w:t>8</w:t>
      </w:r>
      <w:r w:rsidRPr="00663F86">
        <w:rPr>
          <w:rFonts w:ascii="Palatino Linotype" w:hAnsi="Palatino Linotype" w:cs="Arial"/>
        </w:rPr>
        <w:t xml:space="preserve">, emitido por el Órgano Superior de Fiscalización del Estado de México (OSFEM), visible en la página de internet </w:t>
      </w:r>
      <w:r w:rsidRPr="008A2932">
        <w:rPr>
          <w:rFonts w:ascii="Palatino Linotype" w:hAnsi="Palatino Linotype" w:cs="Arial"/>
        </w:rPr>
        <w:t>https://www.osfem.gob.mx/04_Normatividad/doc/Normatividad/2018/03_LinElabyPresInfoMenMpal18.pdf</w:t>
      </w:r>
      <w:r w:rsidRPr="00663F86">
        <w:rPr>
          <w:rFonts w:ascii="Palatino Linotype" w:hAnsi="Palatino Linotype" w:cs="Arial"/>
        </w:rPr>
        <w:t xml:space="preserve">, donde se destaca que dentro de los informes mensuales que los Ayuntamientos tienen la obligación de rendir, se tiene contemplado precisamente la presentación de la Información referente a la </w:t>
      </w:r>
      <w:r>
        <w:rPr>
          <w:rFonts w:ascii="Palatino Linotype" w:hAnsi="Palatino Linotype" w:cs="Arial"/>
        </w:rPr>
        <w:t xml:space="preserve">Nómina </w:t>
      </w:r>
      <w:r w:rsidR="00721017">
        <w:rPr>
          <w:rFonts w:ascii="Palatino Linotype" w:hAnsi="Palatino Linotype" w:cs="Arial"/>
        </w:rPr>
        <w:t>general</w:t>
      </w:r>
      <w:r w:rsidRPr="00663F86">
        <w:rPr>
          <w:rFonts w:ascii="Palatino Linotype" w:hAnsi="Palatino Linotype" w:cs="Arial"/>
        </w:rPr>
        <w:t>, tal y como se muestra con el formato correspondiente, que se plasman en la siguiente imagen</w:t>
      </w:r>
      <w:r>
        <w:rPr>
          <w:rFonts w:ascii="Palatino Linotype" w:hAnsi="Palatino Linotype" w:cs="Arial"/>
        </w:rPr>
        <w:t>:</w:t>
      </w:r>
    </w:p>
    <w:p w14:paraId="2E03C1B3" w14:textId="3F251720" w:rsidR="00F62909" w:rsidRDefault="00F62909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03B0" wp14:editId="312CFCED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5848350" cy="1752600"/>
                <wp:effectExtent l="38100" t="38100" r="76200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F57F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9.3pt,3.55pt" to="869.8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295D972" w14:textId="79940426" w:rsidR="00A406B6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6DF812B0" wp14:editId="1B67F3A6">
            <wp:extent cx="5971540" cy="3095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Arial"/>
        </w:rPr>
        <w:t>El anterior formato, de manera enunciativa más no limitativa, constituye un documento idóneo en el cual se puede advertir el nombre de los servidores públicos del Municipio de que se trata.</w:t>
      </w:r>
    </w:p>
    <w:p w14:paraId="6FFA6C18" w14:textId="38B98511" w:rsidR="00A406B6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No obstante, la que suscribe no omite señalar que respecto del personal de la </w:t>
      </w:r>
      <w:r w:rsidR="00721017" w:rsidRPr="00721017">
        <w:rPr>
          <w:rFonts w:ascii="Palatino Linotype" w:hAnsi="Palatino Linotype" w:cs="Arial"/>
        </w:rPr>
        <w:t>Dirección de Seguridad Ciudadana y Tránsito Vial</w:t>
      </w:r>
      <w:r>
        <w:rPr>
          <w:rFonts w:ascii="Palatino Linotype" w:hAnsi="Palatino Linotype" w:cs="Arial"/>
        </w:rPr>
        <w:t xml:space="preserve">, deberá entregarse la información requerida en versión pública y someterse a un proceso de desvinculación, </w:t>
      </w:r>
      <w:r w:rsidRPr="00A521E7">
        <w:rPr>
          <w:rFonts w:ascii="Palatino Linotype" w:hAnsi="Palatino Linotype" w:cs="Arial"/>
        </w:rPr>
        <w:t xml:space="preserve">en armonía </w:t>
      </w:r>
      <w:r>
        <w:rPr>
          <w:rFonts w:ascii="Palatino Linotype" w:hAnsi="Palatino Linotype" w:cs="Arial"/>
        </w:rPr>
        <w:t xml:space="preserve">con </w:t>
      </w:r>
      <w:r w:rsidRPr="00A521E7">
        <w:rPr>
          <w:rFonts w:ascii="Palatino Linotype" w:hAnsi="Palatino Linotype" w:cs="Arial"/>
        </w:rPr>
        <w:t>los principios constitucionales de máxima publicidad y de protección de datos personales.</w:t>
      </w:r>
    </w:p>
    <w:p w14:paraId="4883EF15" w14:textId="19BB65FB" w:rsidR="00A406B6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en la </w:t>
      </w:r>
      <w:r w:rsidR="00721017" w:rsidRPr="00721017">
        <w:rPr>
          <w:rFonts w:ascii="Palatino Linotype" w:hAnsi="Palatino Linotype" w:cs="Arial"/>
        </w:rPr>
        <w:t xml:space="preserve">Dirección de Seguridad Ciudadana y Tránsito Vial </w:t>
      </w:r>
      <w:r>
        <w:rPr>
          <w:rFonts w:ascii="Palatino Linotype" w:hAnsi="Palatino Linotype" w:cs="Arial"/>
        </w:rPr>
        <w:t>se encuentra adscrito personal tanto administrativo como operativo, empero, si se da a conocer el nombre de la totalidad del personal sin que se le vincule con su cargo y sueldo, se considera que no se hace identificable al personal, y al tratarse del nom</w:t>
      </w:r>
      <w:r w:rsidR="00721017">
        <w:rPr>
          <w:rFonts w:ascii="Palatino Linotype" w:hAnsi="Palatino Linotype" w:cs="Arial"/>
        </w:rPr>
        <w:t>bre de servidores públicos</w:t>
      </w:r>
      <w:r w:rsidR="00507E72">
        <w:rPr>
          <w:rFonts w:ascii="Palatino Linotype" w:hAnsi="Palatino Linotype" w:cs="Arial"/>
        </w:rPr>
        <w:t xml:space="preserve"> de manera general</w:t>
      </w:r>
      <w:r w:rsidR="00721017">
        <w:rPr>
          <w:rFonts w:ascii="Palatino Linotype" w:hAnsi="Palatino Linotype" w:cs="Arial"/>
        </w:rPr>
        <w:t>, éstos</w:t>
      </w:r>
      <w:r>
        <w:rPr>
          <w:rFonts w:ascii="Palatino Linotype" w:hAnsi="Palatino Linotype" w:cs="Arial"/>
        </w:rPr>
        <w:t xml:space="preserve"> se debe</w:t>
      </w:r>
      <w:r w:rsidR="00167EDE">
        <w:rPr>
          <w:rFonts w:ascii="Palatino Linotype" w:hAnsi="Palatino Linotype" w:cs="Arial"/>
        </w:rPr>
        <w:t>n de</w:t>
      </w:r>
      <w:r>
        <w:rPr>
          <w:rFonts w:ascii="Palatino Linotype" w:hAnsi="Palatino Linotype" w:cs="Arial"/>
        </w:rPr>
        <w:t xml:space="preserve"> publicitar.</w:t>
      </w:r>
    </w:p>
    <w:p w14:paraId="7ACEB4DD" w14:textId="7D16EBE9" w:rsidR="00A406B6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En ese contexto, e</w:t>
      </w:r>
      <w:r w:rsidRPr="00A521E7">
        <w:rPr>
          <w:rFonts w:ascii="Palatino Linotype" w:hAnsi="Palatino Linotype" w:cs="Arial"/>
        </w:rPr>
        <w:t xml:space="preserve">n el caso específico del documento donde conste o del cual se pueda </w:t>
      </w:r>
      <w:r>
        <w:rPr>
          <w:rFonts w:ascii="Palatino Linotype" w:hAnsi="Palatino Linotype" w:cs="Arial"/>
        </w:rPr>
        <w:t>advertir el nombre del</w:t>
      </w:r>
      <w:r w:rsidRPr="00A521E7">
        <w:rPr>
          <w:rFonts w:ascii="Palatino Linotype" w:hAnsi="Palatino Linotype" w:cs="Arial"/>
        </w:rPr>
        <w:t xml:space="preserve"> personal </w:t>
      </w:r>
      <w:r>
        <w:rPr>
          <w:rFonts w:ascii="Palatino Linotype" w:hAnsi="Palatino Linotype" w:cs="Arial"/>
        </w:rPr>
        <w:t xml:space="preserve">adscrito a la </w:t>
      </w:r>
      <w:r w:rsidR="00167EDE" w:rsidRPr="00167EDE">
        <w:rPr>
          <w:rFonts w:ascii="Palatino Linotype" w:hAnsi="Palatino Linotype" w:cs="Arial"/>
        </w:rPr>
        <w:t>Dirección de Seguridad Ciudadana y Tránsito Vial</w:t>
      </w:r>
      <w:r w:rsidRPr="00A521E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y la</w:t>
      </w:r>
      <w:r w:rsidRPr="00A521E7">
        <w:rPr>
          <w:rFonts w:ascii="Palatino Linotype" w:hAnsi="Palatino Linotype" w:cs="Arial"/>
        </w:rPr>
        <w:t xml:space="preserve"> información relativa a las remuneraciones,</w:t>
      </w:r>
      <w:r>
        <w:rPr>
          <w:rFonts w:ascii="Palatino Linotype" w:hAnsi="Palatino Linotype" w:cs="Arial"/>
        </w:rPr>
        <w:t xml:space="preserve"> se advierte de naturaleza pública; empero, se deberá proceder a disociar</w:t>
      </w:r>
      <w:r w:rsidRPr="00A521E7">
        <w:rPr>
          <w:rFonts w:ascii="Palatino Linotype" w:hAnsi="Palatino Linotype" w:cs="Arial"/>
        </w:rPr>
        <w:t xml:space="preserve"> el </w:t>
      </w:r>
      <w:r>
        <w:rPr>
          <w:rFonts w:ascii="Palatino Linotype" w:hAnsi="Palatino Linotype" w:cs="Arial"/>
        </w:rPr>
        <w:t xml:space="preserve">nombre, </w:t>
      </w:r>
      <w:r w:rsidRPr="00A521E7">
        <w:rPr>
          <w:rFonts w:ascii="Palatino Linotype" w:hAnsi="Palatino Linotype" w:cs="Arial"/>
        </w:rPr>
        <w:t xml:space="preserve">cargo y </w:t>
      </w:r>
      <w:r>
        <w:rPr>
          <w:rFonts w:ascii="Palatino Linotype" w:hAnsi="Palatino Linotype" w:cs="Arial"/>
        </w:rPr>
        <w:t>sueldo</w:t>
      </w:r>
      <w:r w:rsidRPr="00A521E7">
        <w:rPr>
          <w:rFonts w:ascii="Palatino Linotype" w:hAnsi="Palatino Linotype" w:cs="Arial"/>
        </w:rPr>
        <w:t xml:space="preserve"> </w:t>
      </w:r>
      <w:r w:rsidR="00167EDE">
        <w:rPr>
          <w:rFonts w:ascii="Palatino Linotype" w:hAnsi="Palatino Linotype" w:cs="Arial"/>
        </w:rPr>
        <w:t xml:space="preserve">en </w:t>
      </w:r>
      <w:r w:rsidRPr="00A521E7">
        <w:rPr>
          <w:rFonts w:ascii="Palatino Linotype" w:hAnsi="Palatino Linotype" w:cs="Arial"/>
        </w:rPr>
        <w:t>específic</w:t>
      </w:r>
      <w:r>
        <w:rPr>
          <w:rFonts w:ascii="Palatino Linotype" w:hAnsi="Palatino Linotype" w:cs="Arial"/>
        </w:rPr>
        <w:t xml:space="preserve">o a efecto de no hacer </w:t>
      </w:r>
      <w:r w:rsidRPr="00A521E7">
        <w:rPr>
          <w:rFonts w:ascii="Palatino Linotype" w:hAnsi="Palatino Linotype" w:cs="Arial"/>
        </w:rPr>
        <w:t>identifica</w:t>
      </w:r>
      <w:r>
        <w:rPr>
          <w:rFonts w:ascii="Palatino Linotype" w:hAnsi="Palatino Linotype" w:cs="Arial"/>
        </w:rPr>
        <w:t>ble</w:t>
      </w:r>
      <w:r w:rsidRPr="00A521E7">
        <w:rPr>
          <w:rFonts w:ascii="Palatino Linotype" w:hAnsi="Palatino Linotype" w:cs="Arial"/>
        </w:rPr>
        <w:t xml:space="preserve"> al persona</w:t>
      </w:r>
      <w:r>
        <w:rPr>
          <w:rFonts w:ascii="Palatino Linotype" w:hAnsi="Palatino Linotype" w:cs="Arial"/>
        </w:rPr>
        <w:t>l operativo de dicha Dirección.</w:t>
      </w:r>
    </w:p>
    <w:p w14:paraId="23256DF5" w14:textId="7CDE01C8" w:rsidR="00A406B6" w:rsidRDefault="00A406B6" w:rsidP="00270662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</w:t>
      </w:r>
      <w:r w:rsidRPr="0055671C">
        <w:rPr>
          <w:rFonts w:ascii="Palatino Linotype" w:hAnsi="Palatino Linotype" w:cs="Arial"/>
        </w:rPr>
        <w:t>rivado de lo anterior, es claro que</w:t>
      </w:r>
      <w:r>
        <w:rPr>
          <w:rFonts w:ascii="Palatino Linotype" w:hAnsi="Palatino Linotype" w:cs="Arial"/>
        </w:rPr>
        <w:t xml:space="preserve"> la información solicitada por el particular pudo entregarse, ordenando la Nómina General sujeta a un proceso de desvinculación de la información correspondiente al personal adscrito a la </w:t>
      </w:r>
      <w:r w:rsidR="00167EDE" w:rsidRPr="00167EDE">
        <w:rPr>
          <w:rFonts w:ascii="Palatino Linotype" w:hAnsi="Palatino Linotype" w:cs="Arial"/>
        </w:rPr>
        <w:t>Dirección de Seguridad Ciudadana y Tránsito Vial</w:t>
      </w:r>
      <w:r w:rsidRPr="00E4747A">
        <w:rPr>
          <w:rFonts w:ascii="Palatino Linotype" w:hAnsi="Palatino Linotype" w:cs="Arial"/>
        </w:rPr>
        <w:t xml:space="preserve">; </w:t>
      </w:r>
      <w:r>
        <w:rPr>
          <w:rFonts w:ascii="Palatino Linotype" w:hAnsi="Palatino Linotype" w:cs="Arial"/>
        </w:rPr>
        <w:t xml:space="preserve">por tanto, la suscrita emite </w:t>
      </w:r>
      <w:r w:rsidRPr="00E4747A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pues se insiste que no se comparte la clasificación de la información consistente en nombres de policías con funciones operativas como reservada, </w:t>
      </w:r>
      <w:r w:rsidR="0038287A">
        <w:rPr>
          <w:rFonts w:ascii="Palatino Linotype" w:hAnsi="Palatino Linotype" w:cs="Arial"/>
        </w:rPr>
        <w:t>por lo</w:t>
      </w:r>
      <w:r>
        <w:rPr>
          <w:rFonts w:ascii="Palatino Linotype" w:hAnsi="Palatino Linotype" w:cs="Arial"/>
        </w:rPr>
        <w:t xml:space="preserve"> que se pudo ordenar la entrega del nombre de </w:t>
      </w:r>
      <w:r w:rsidR="00167EDE">
        <w:rPr>
          <w:rFonts w:ascii="Palatino Linotype" w:hAnsi="Palatino Linotype" w:cs="Arial"/>
        </w:rPr>
        <w:t xml:space="preserve">la totalidad de </w:t>
      </w:r>
      <w:r>
        <w:rPr>
          <w:rFonts w:ascii="Palatino Linotype" w:hAnsi="Palatino Linotype" w:cs="Arial"/>
        </w:rPr>
        <w:t>los servidores públicos adscritos a dicha Dirección, tanto operativos como administrativos de manera general, sin que se les vincule con el cargo, a efecto de que bajo el principio de máxima publicidad se transparente el nombre de dicho personal</w:t>
      </w:r>
      <w:r w:rsidR="00167EDE">
        <w:rPr>
          <w:rFonts w:ascii="Palatino Linotype" w:hAnsi="Palatino Linotype" w:cs="Arial"/>
        </w:rPr>
        <w:t xml:space="preserve"> al recibir recursos públicos</w:t>
      </w:r>
      <w:r>
        <w:rPr>
          <w:rFonts w:ascii="Palatino Linotype" w:hAnsi="Palatino Linotype" w:cs="Arial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EB7480" w:rsidRPr="001950C9" w14:paraId="2B315DB7" w14:textId="77777777" w:rsidTr="00EB7480">
        <w:trPr>
          <w:jc w:val="center"/>
        </w:trPr>
        <w:tc>
          <w:tcPr>
            <w:tcW w:w="4393" w:type="dxa"/>
          </w:tcPr>
          <w:p w14:paraId="72720463" w14:textId="77777777" w:rsidR="0038287A" w:rsidRDefault="0038287A" w:rsidP="0038287A">
            <w:pPr>
              <w:ind w:right="4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DFAD84E" w14:textId="77777777" w:rsidR="002367AF" w:rsidRDefault="002367AF" w:rsidP="0038287A">
            <w:pPr>
              <w:ind w:right="4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B492099" w14:textId="77777777" w:rsidR="002367AF" w:rsidRDefault="002367AF" w:rsidP="0038287A">
            <w:pPr>
              <w:ind w:right="4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5F745596" w14:textId="77777777" w:rsidR="002367AF" w:rsidRDefault="002367AF" w:rsidP="0038287A">
            <w:pPr>
              <w:ind w:right="4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D044AB0" w14:textId="77777777" w:rsidR="002367AF" w:rsidRDefault="002367AF" w:rsidP="0038287A">
            <w:pPr>
              <w:ind w:right="4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675567DE" w14:textId="77777777" w:rsidR="002367AF" w:rsidRDefault="002367AF" w:rsidP="0038287A">
            <w:pPr>
              <w:ind w:right="49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3DC06E4B" w14:textId="77777777" w:rsidR="00EB7480" w:rsidRPr="001950C9" w:rsidRDefault="00EB7480" w:rsidP="0038287A">
            <w:pPr>
              <w:ind w:right="51"/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1950C9">
              <w:rPr>
                <w:rFonts w:ascii="Palatino Linotype" w:hAnsi="Palatino Linotype"/>
                <w:b/>
              </w:rPr>
              <w:t xml:space="preserve">EVA ABAID YAPUR </w:t>
            </w:r>
          </w:p>
          <w:p w14:paraId="0FFCCFEB" w14:textId="77777777" w:rsidR="00BC5D71" w:rsidRDefault="00EB7480" w:rsidP="00AF3034">
            <w:pPr>
              <w:ind w:right="51"/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14:paraId="2772608D" w14:textId="609A21AA" w:rsidR="00B75173" w:rsidRPr="001950C9" w:rsidRDefault="00B75173" w:rsidP="00AF3034">
            <w:pPr>
              <w:ind w:right="51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14:paraId="7DF0F832" w14:textId="77777777" w:rsidR="002367AF" w:rsidRDefault="002367AF" w:rsidP="0038287A">
      <w:pPr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73CA2B5C" w14:textId="6F8B949D" w:rsidR="0038287A" w:rsidRDefault="00A406B6" w:rsidP="0038287A">
      <w:pPr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30072F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sta hoja corresponde al voto </w:t>
      </w:r>
      <w:r w:rsidR="00E474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particular</w:t>
      </w:r>
      <w:r w:rsidR="0030072F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emitido en</w:t>
      </w:r>
      <w:r w:rsidR="00382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 del </w:t>
      </w:r>
      <w:r w:rsidR="0030072F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recurso de revisión 0</w:t>
      </w:r>
      <w:r w:rsidR="00382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4076</w:t>
      </w:r>
      <w:r w:rsidR="0030072F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</w:t>
      </w:r>
      <w:r w:rsidR="009F62F2">
        <w:rPr>
          <w:rFonts w:ascii="Palatino Linotype" w:eastAsia="Calibri" w:hAnsi="Palatino Linotype" w:cs="Arial"/>
          <w:color w:val="000000" w:themeColor="text1"/>
          <w:sz w:val="20"/>
          <w:szCs w:val="20"/>
        </w:rPr>
        <w:t>201</w:t>
      </w:r>
      <w:r w:rsidR="006A470D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="00382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="0030072F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382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nueve</w:t>
      </w:r>
      <w:r w:rsidR="006A470D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</w:t>
      </w:r>
      <w:r w:rsidR="00382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enero de dos mil diecinueve</w:t>
      </w:r>
      <w:r w:rsidR="006A470D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14:paraId="206E9000" w14:textId="77777777" w:rsidR="002367AF" w:rsidRPr="007C6C23" w:rsidRDefault="002367AF" w:rsidP="0038287A">
      <w:pPr>
        <w:ind w:right="51"/>
        <w:jc w:val="both"/>
        <w:rPr>
          <w:rFonts w:ascii="Palatino Linotype" w:eastAsia="Calibri" w:hAnsi="Palatino Linotype" w:cs="Arial"/>
          <w:color w:val="000000" w:themeColor="text1"/>
          <w:sz w:val="6"/>
          <w:szCs w:val="8"/>
        </w:rPr>
      </w:pPr>
    </w:p>
    <w:p w14:paraId="2390E1F1" w14:textId="20FBF145" w:rsidR="009D63A9" w:rsidRPr="00EB7480" w:rsidRDefault="0030072F" w:rsidP="0038287A">
      <w:pPr>
        <w:ind w:right="5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382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IAHA</w:t>
      </w:r>
    </w:p>
    <w:sectPr w:rsidR="009D63A9" w:rsidRPr="00EB7480" w:rsidSect="00A2174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701" w:right="1418" w:bottom="1418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12653" w14:textId="77777777" w:rsidR="00FC0511" w:rsidRDefault="00FC0511" w:rsidP="00C80F8C">
      <w:r>
        <w:separator/>
      </w:r>
    </w:p>
  </w:endnote>
  <w:endnote w:type="continuationSeparator" w:id="0">
    <w:p w14:paraId="28F40C27" w14:textId="77777777" w:rsidR="00FC0511" w:rsidRDefault="00FC0511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75173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75173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63D52" w14:textId="77777777" w:rsidR="00FC0511" w:rsidRDefault="00FC0511" w:rsidP="00C80F8C">
      <w:r>
        <w:separator/>
      </w:r>
    </w:p>
  </w:footnote>
  <w:footnote w:type="continuationSeparator" w:id="0">
    <w:p w14:paraId="00EEF4B4" w14:textId="77777777" w:rsidR="00FC0511" w:rsidRDefault="00FC0511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B75173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263313" o:spid="_x0000_s2050" type="#_x0000_t136" style="position:absolute;margin-left:0;margin-top:0;width:576.45pt;height:86.4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13D5772C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5413F" w14:textId="5E88DD25" w:rsidR="00330287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</w:t>
    </w:r>
    <w:r w:rsidR="00CC204F">
      <w:rPr>
        <w:rFonts w:ascii="Palatino Linotype" w:hAnsi="Palatino Linotype" w:cs="Arial"/>
        <w:sz w:val="20"/>
        <w:szCs w:val="20"/>
      </w:rPr>
      <w:t>PARTICULAR</w:t>
    </w:r>
  </w:p>
  <w:p w14:paraId="6FB4A399" w14:textId="75F5616A" w:rsidR="007C6B73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4179B7">
      <w:rPr>
        <w:rFonts w:ascii="Palatino Linotype" w:hAnsi="Palatino Linotype" w:cs="Arial"/>
        <w:sz w:val="20"/>
        <w:szCs w:val="20"/>
      </w:rPr>
      <w:t>0</w:t>
    </w:r>
    <w:r w:rsidR="00270662">
      <w:rPr>
        <w:rFonts w:ascii="Palatino Linotype" w:hAnsi="Palatino Linotype" w:cs="Arial"/>
        <w:sz w:val="20"/>
        <w:szCs w:val="20"/>
      </w:rPr>
      <w:t>4076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CC204F">
      <w:rPr>
        <w:rFonts w:ascii="Palatino Linotype" w:hAnsi="Palatino Linotype" w:cs="Arial"/>
        <w:sz w:val="20"/>
        <w:szCs w:val="20"/>
      </w:rPr>
      <w:t>8</w:t>
    </w:r>
    <w:r w:rsidR="007C6B73">
      <w:rPr>
        <w:rFonts w:ascii="Palatino Linotype" w:hAnsi="Palatino Linotype" w:cs="Arial"/>
        <w:sz w:val="20"/>
        <w:szCs w:val="20"/>
      </w:rPr>
      <w:t xml:space="preserve"> </w:t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7F499930" w:rsidR="0030072F" w:rsidRDefault="00B75173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263314" o:spid="_x0000_s2051" type="#_x0000_t136" style="position:absolute;left:0;text-align:left;margin-left:0;margin-top:0;width:626.3pt;height:84.1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B75173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263312" o:spid="_x0000_s2049" type="#_x0000_t136" style="position:absolute;margin-left:0;margin-top:0;width:576.45pt;height:86.4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7A26BD"/>
    <w:multiLevelType w:val="hybridMultilevel"/>
    <w:tmpl w:val="B7C0F970"/>
    <w:lvl w:ilvl="0" w:tplc="0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6643E4"/>
    <w:multiLevelType w:val="hybridMultilevel"/>
    <w:tmpl w:val="A922E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7770E"/>
    <w:multiLevelType w:val="hybridMultilevel"/>
    <w:tmpl w:val="6A0A7A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1751C"/>
    <w:rsid w:val="00017D16"/>
    <w:rsid w:val="000412FB"/>
    <w:rsid w:val="00055079"/>
    <w:rsid w:val="00055107"/>
    <w:rsid w:val="0006079D"/>
    <w:rsid w:val="0007653D"/>
    <w:rsid w:val="00082101"/>
    <w:rsid w:val="0008542A"/>
    <w:rsid w:val="0008745A"/>
    <w:rsid w:val="00092678"/>
    <w:rsid w:val="00095B30"/>
    <w:rsid w:val="000A7C33"/>
    <w:rsid w:val="000B3FFD"/>
    <w:rsid w:val="000C1DDE"/>
    <w:rsid w:val="000C4453"/>
    <w:rsid w:val="000D136C"/>
    <w:rsid w:val="000D66DE"/>
    <w:rsid w:val="000E2B1A"/>
    <w:rsid w:val="000E4C17"/>
    <w:rsid w:val="00102EEC"/>
    <w:rsid w:val="0010583C"/>
    <w:rsid w:val="001059D0"/>
    <w:rsid w:val="001157CE"/>
    <w:rsid w:val="00117749"/>
    <w:rsid w:val="00121D0B"/>
    <w:rsid w:val="00123644"/>
    <w:rsid w:val="0013735C"/>
    <w:rsid w:val="00140058"/>
    <w:rsid w:val="00140236"/>
    <w:rsid w:val="00157A75"/>
    <w:rsid w:val="00167EDE"/>
    <w:rsid w:val="00175DEE"/>
    <w:rsid w:val="00187FFD"/>
    <w:rsid w:val="001950C9"/>
    <w:rsid w:val="001A04EA"/>
    <w:rsid w:val="001B5346"/>
    <w:rsid w:val="001E757E"/>
    <w:rsid w:val="001E763C"/>
    <w:rsid w:val="00217FDD"/>
    <w:rsid w:val="002314AA"/>
    <w:rsid w:val="0023504D"/>
    <w:rsid w:val="002367AF"/>
    <w:rsid w:val="00237A37"/>
    <w:rsid w:val="0024119C"/>
    <w:rsid w:val="0025202C"/>
    <w:rsid w:val="002562CC"/>
    <w:rsid w:val="002661A6"/>
    <w:rsid w:val="00270662"/>
    <w:rsid w:val="002743E2"/>
    <w:rsid w:val="002940F8"/>
    <w:rsid w:val="002B7856"/>
    <w:rsid w:val="002D3BBD"/>
    <w:rsid w:val="002D4526"/>
    <w:rsid w:val="002D69E1"/>
    <w:rsid w:val="002E5711"/>
    <w:rsid w:val="002F5734"/>
    <w:rsid w:val="0030072F"/>
    <w:rsid w:val="003056D9"/>
    <w:rsid w:val="003102FA"/>
    <w:rsid w:val="00330287"/>
    <w:rsid w:val="00337554"/>
    <w:rsid w:val="0034309A"/>
    <w:rsid w:val="00351129"/>
    <w:rsid w:val="0037321B"/>
    <w:rsid w:val="0037521D"/>
    <w:rsid w:val="0038287A"/>
    <w:rsid w:val="003A6F70"/>
    <w:rsid w:val="003C23BE"/>
    <w:rsid w:val="003C28FC"/>
    <w:rsid w:val="003C2D10"/>
    <w:rsid w:val="003C7226"/>
    <w:rsid w:val="003D1C14"/>
    <w:rsid w:val="003F4C9C"/>
    <w:rsid w:val="00410D1F"/>
    <w:rsid w:val="00414E48"/>
    <w:rsid w:val="00414E7B"/>
    <w:rsid w:val="004179B7"/>
    <w:rsid w:val="004315BB"/>
    <w:rsid w:val="0044271B"/>
    <w:rsid w:val="00443646"/>
    <w:rsid w:val="0044475B"/>
    <w:rsid w:val="00446819"/>
    <w:rsid w:val="0045122B"/>
    <w:rsid w:val="00455CB3"/>
    <w:rsid w:val="00461BCE"/>
    <w:rsid w:val="004661D2"/>
    <w:rsid w:val="004776FF"/>
    <w:rsid w:val="004B7325"/>
    <w:rsid w:val="004C40EA"/>
    <w:rsid w:val="004C64D9"/>
    <w:rsid w:val="004D0A26"/>
    <w:rsid w:val="004F0E64"/>
    <w:rsid w:val="00500FFD"/>
    <w:rsid w:val="00507E72"/>
    <w:rsid w:val="00516914"/>
    <w:rsid w:val="005236B6"/>
    <w:rsid w:val="005318AB"/>
    <w:rsid w:val="005321E3"/>
    <w:rsid w:val="005335B9"/>
    <w:rsid w:val="00534FBC"/>
    <w:rsid w:val="0055671C"/>
    <w:rsid w:val="00562649"/>
    <w:rsid w:val="00575235"/>
    <w:rsid w:val="0058067E"/>
    <w:rsid w:val="0058639E"/>
    <w:rsid w:val="005870DF"/>
    <w:rsid w:val="005B773B"/>
    <w:rsid w:val="005C66D4"/>
    <w:rsid w:val="005D14C4"/>
    <w:rsid w:val="005D1946"/>
    <w:rsid w:val="00612544"/>
    <w:rsid w:val="00634485"/>
    <w:rsid w:val="00646A97"/>
    <w:rsid w:val="00663F86"/>
    <w:rsid w:val="00672211"/>
    <w:rsid w:val="006824EF"/>
    <w:rsid w:val="00684492"/>
    <w:rsid w:val="006875EE"/>
    <w:rsid w:val="00694EB3"/>
    <w:rsid w:val="006967D4"/>
    <w:rsid w:val="006A470D"/>
    <w:rsid w:val="006A496D"/>
    <w:rsid w:val="006B5818"/>
    <w:rsid w:val="006C0991"/>
    <w:rsid w:val="006E6389"/>
    <w:rsid w:val="006F1BE3"/>
    <w:rsid w:val="006F30F8"/>
    <w:rsid w:val="00712BC2"/>
    <w:rsid w:val="0071346B"/>
    <w:rsid w:val="00721017"/>
    <w:rsid w:val="00721966"/>
    <w:rsid w:val="0072285C"/>
    <w:rsid w:val="00724599"/>
    <w:rsid w:val="00736C06"/>
    <w:rsid w:val="0074074E"/>
    <w:rsid w:val="007416E3"/>
    <w:rsid w:val="00742010"/>
    <w:rsid w:val="00772360"/>
    <w:rsid w:val="0078581D"/>
    <w:rsid w:val="007A4AB6"/>
    <w:rsid w:val="007B3EC7"/>
    <w:rsid w:val="007B4B7E"/>
    <w:rsid w:val="007B6E55"/>
    <w:rsid w:val="007C0FDA"/>
    <w:rsid w:val="007C3C0E"/>
    <w:rsid w:val="007C6B73"/>
    <w:rsid w:val="007C6C23"/>
    <w:rsid w:val="007D0FEE"/>
    <w:rsid w:val="007D5013"/>
    <w:rsid w:val="008117E1"/>
    <w:rsid w:val="008217CD"/>
    <w:rsid w:val="00823496"/>
    <w:rsid w:val="008256AF"/>
    <w:rsid w:val="00846A21"/>
    <w:rsid w:val="0085587C"/>
    <w:rsid w:val="00892AFC"/>
    <w:rsid w:val="008A2932"/>
    <w:rsid w:val="008A3893"/>
    <w:rsid w:val="008B3367"/>
    <w:rsid w:val="008C0700"/>
    <w:rsid w:val="008C0C70"/>
    <w:rsid w:val="008C17F2"/>
    <w:rsid w:val="008D1526"/>
    <w:rsid w:val="008D584A"/>
    <w:rsid w:val="008F5620"/>
    <w:rsid w:val="00924813"/>
    <w:rsid w:val="00926A92"/>
    <w:rsid w:val="0093343E"/>
    <w:rsid w:val="00953EC8"/>
    <w:rsid w:val="00966E59"/>
    <w:rsid w:val="00975AA3"/>
    <w:rsid w:val="00975EB9"/>
    <w:rsid w:val="009773AF"/>
    <w:rsid w:val="00986740"/>
    <w:rsid w:val="009A271C"/>
    <w:rsid w:val="009A5183"/>
    <w:rsid w:val="009A67F5"/>
    <w:rsid w:val="009B65F4"/>
    <w:rsid w:val="009C2F32"/>
    <w:rsid w:val="009C46BF"/>
    <w:rsid w:val="009C6832"/>
    <w:rsid w:val="009D2FD4"/>
    <w:rsid w:val="009D63A9"/>
    <w:rsid w:val="009E2A80"/>
    <w:rsid w:val="009E5EDA"/>
    <w:rsid w:val="009F62F2"/>
    <w:rsid w:val="00A032F1"/>
    <w:rsid w:val="00A04C79"/>
    <w:rsid w:val="00A12E0D"/>
    <w:rsid w:val="00A14B1D"/>
    <w:rsid w:val="00A21745"/>
    <w:rsid w:val="00A40057"/>
    <w:rsid w:val="00A406B6"/>
    <w:rsid w:val="00A4593D"/>
    <w:rsid w:val="00A521E7"/>
    <w:rsid w:val="00A53958"/>
    <w:rsid w:val="00A60D1E"/>
    <w:rsid w:val="00A60EF8"/>
    <w:rsid w:val="00A81140"/>
    <w:rsid w:val="00A824CA"/>
    <w:rsid w:val="00A940B2"/>
    <w:rsid w:val="00AB21DA"/>
    <w:rsid w:val="00AB3102"/>
    <w:rsid w:val="00AC248E"/>
    <w:rsid w:val="00AC3E22"/>
    <w:rsid w:val="00AC3F99"/>
    <w:rsid w:val="00AC496E"/>
    <w:rsid w:val="00AD6AAD"/>
    <w:rsid w:val="00AE2B18"/>
    <w:rsid w:val="00AE55A3"/>
    <w:rsid w:val="00AF0B38"/>
    <w:rsid w:val="00AF3034"/>
    <w:rsid w:val="00AF3F82"/>
    <w:rsid w:val="00B12888"/>
    <w:rsid w:val="00B151A8"/>
    <w:rsid w:val="00B27BE5"/>
    <w:rsid w:val="00B337A5"/>
    <w:rsid w:val="00B35A45"/>
    <w:rsid w:val="00B4641E"/>
    <w:rsid w:val="00B46E78"/>
    <w:rsid w:val="00B5072E"/>
    <w:rsid w:val="00B53290"/>
    <w:rsid w:val="00B57FE6"/>
    <w:rsid w:val="00B64C77"/>
    <w:rsid w:val="00B650A8"/>
    <w:rsid w:val="00B75173"/>
    <w:rsid w:val="00B80485"/>
    <w:rsid w:val="00B946A2"/>
    <w:rsid w:val="00B95BF7"/>
    <w:rsid w:val="00BA26AE"/>
    <w:rsid w:val="00BC5D71"/>
    <w:rsid w:val="00BD7483"/>
    <w:rsid w:val="00BE2189"/>
    <w:rsid w:val="00C1644D"/>
    <w:rsid w:val="00C30621"/>
    <w:rsid w:val="00C307F0"/>
    <w:rsid w:val="00C32769"/>
    <w:rsid w:val="00C37B76"/>
    <w:rsid w:val="00C4493E"/>
    <w:rsid w:val="00C65CD0"/>
    <w:rsid w:val="00C766EF"/>
    <w:rsid w:val="00C80F8C"/>
    <w:rsid w:val="00CA047D"/>
    <w:rsid w:val="00CC204F"/>
    <w:rsid w:val="00CC5EAB"/>
    <w:rsid w:val="00CE336A"/>
    <w:rsid w:val="00CF30E8"/>
    <w:rsid w:val="00D01B99"/>
    <w:rsid w:val="00D11F9A"/>
    <w:rsid w:val="00D22D87"/>
    <w:rsid w:val="00D46C00"/>
    <w:rsid w:val="00D52989"/>
    <w:rsid w:val="00D557C2"/>
    <w:rsid w:val="00D64F32"/>
    <w:rsid w:val="00D87DCC"/>
    <w:rsid w:val="00D91EDF"/>
    <w:rsid w:val="00DA48FD"/>
    <w:rsid w:val="00DA5209"/>
    <w:rsid w:val="00DB6A8E"/>
    <w:rsid w:val="00DD6A6C"/>
    <w:rsid w:val="00E10A96"/>
    <w:rsid w:val="00E146AA"/>
    <w:rsid w:val="00E27F2A"/>
    <w:rsid w:val="00E30D95"/>
    <w:rsid w:val="00E42755"/>
    <w:rsid w:val="00E43B8E"/>
    <w:rsid w:val="00E45B76"/>
    <w:rsid w:val="00E46383"/>
    <w:rsid w:val="00E4747A"/>
    <w:rsid w:val="00E50E30"/>
    <w:rsid w:val="00E51520"/>
    <w:rsid w:val="00E76ECF"/>
    <w:rsid w:val="00E81CE8"/>
    <w:rsid w:val="00E8209A"/>
    <w:rsid w:val="00E9448D"/>
    <w:rsid w:val="00EA27CB"/>
    <w:rsid w:val="00EA5EEB"/>
    <w:rsid w:val="00EA7874"/>
    <w:rsid w:val="00EB7480"/>
    <w:rsid w:val="00EB7DE6"/>
    <w:rsid w:val="00EB7F1A"/>
    <w:rsid w:val="00EC0002"/>
    <w:rsid w:val="00ED5EE9"/>
    <w:rsid w:val="00EE4D6E"/>
    <w:rsid w:val="00EF7224"/>
    <w:rsid w:val="00F06505"/>
    <w:rsid w:val="00F36CDE"/>
    <w:rsid w:val="00F44E84"/>
    <w:rsid w:val="00F548A9"/>
    <w:rsid w:val="00F54D8B"/>
    <w:rsid w:val="00F62909"/>
    <w:rsid w:val="00F9624E"/>
    <w:rsid w:val="00F96A57"/>
    <w:rsid w:val="00FA6221"/>
    <w:rsid w:val="00FA6453"/>
    <w:rsid w:val="00FB48D6"/>
    <w:rsid w:val="00FC0511"/>
    <w:rsid w:val="00FE740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CB145698-DBB4-44F1-B466-BEE779D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17E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12E0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17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omex.org.mx/ipo/lgt/indice/amecameca.web?reset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E640FD-CF59-4888-BA6C-0CC38B35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1361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user</cp:lastModifiedBy>
  <cp:revision>10</cp:revision>
  <cp:lastPrinted>2018-12-12T00:36:00Z</cp:lastPrinted>
  <dcterms:created xsi:type="dcterms:W3CDTF">2019-01-10T23:32:00Z</dcterms:created>
  <dcterms:modified xsi:type="dcterms:W3CDTF">2019-02-18T17:39:00Z</dcterms:modified>
</cp:coreProperties>
</file>